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C047" w14:textId="639F40F7" w:rsidR="00717D05" w:rsidRDefault="00717D05" w:rsidP="00717D05">
      <w:pPr>
        <w:pStyle w:val="CRCoverPage"/>
        <w:tabs>
          <w:tab w:val="right" w:pos="9639"/>
        </w:tabs>
        <w:spacing w:after="0"/>
        <w:outlineLvl w:val="0"/>
        <w:rPr>
          <w:b/>
          <w:i/>
          <w:sz w:val="28"/>
          <w:lang w:val="en-US" w:eastAsia="zh-CN"/>
        </w:rPr>
      </w:pPr>
      <w:bookmarkStart w:id="0" w:name="_Hlk108786303"/>
      <w:r>
        <w:rPr>
          <w:b/>
          <w:sz w:val="24"/>
        </w:rPr>
        <w:t>3GPP TSG-SA3 Meeting #</w:t>
      </w:r>
      <w:r w:rsidRPr="006114FB">
        <w:t xml:space="preserve"> </w:t>
      </w:r>
      <w:r w:rsidRPr="006114FB">
        <w:rPr>
          <w:b/>
          <w:sz w:val="24"/>
        </w:rPr>
        <w:t>108-Ad Hoc-e</w:t>
      </w:r>
      <w:r>
        <w:rPr>
          <w:b/>
          <w:i/>
          <w:sz w:val="28"/>
        </w:rPr>
        <w:tab/>
      </w:r>
      <w:r w:rsidR="00D875C8" w:rsidRPr="00D875C8">
        <w:rPr>
          <w:b/>
          <w:i/>
          <w:sz w:val="28"/>
        </w:rPr>
        <w:t>S3-222928</w:t>
      </w:r>
    </w:p>
    <w:p w14:paraId="4A245143" w14:textId="7CFCE425" w:rsidR="00717D05" w:rsidRDefault="00717D05" w:rsidP="00717D05">
      <w:pPr>
        <w:pStyle w:val="CRCoverPage"/>
        <w:outlineLvl w:val="0"/>
        <w:rPr>
          <w:b/>
          <w:bCs/>
          <w:sz w:val="24"/>
        </w:rPr>
      </w:pPr>
      <w:r>
        <w:rPr>
          <w:b/>
          <w:bCs/>
          <w:sz w:val="24"/>
        </w:rPr>
        <w:t>e-meeting, 10 - 14 October 2022</w:t>
      </w:r>
      <w:r w:rsidR="00D875C8">
        <w:rPr>
          <w:b/>
          <w:bCs/>
          <w:sz w:val="24"/>
        </w:rPr>
        <w:tab/>
      </w:r>
      <w:r w:rsidR="00D875C8">
        <w:rPr>
          <w:b/>
          <w:bCs/>
          <w:sz w:val="24"/>
        </w:rPr>
        <w:tab/>
      </w:r>
      <w:r w:rsidR="00D875C8">
        <w:rPr>
          <w:b/>
          <w:bCs/>
          <w:sz w:val="24"/>
        </w:rPr>
        <w:tab/>
      </w:r>
      <w:r w:rsidR="00D875C8">
        <w:rPr>
          <w:b/>
          <w:bCs/>
          <w:sz w:val="24"/>
        </w:rPr>
        <w:tab/>
      </w:r>
      <w:r w:rsidR="00D875C8" w:rsidRPr="00D875C8">
        <w:rPr>
          <w:i/>
          <w:iCs/>
          <w:sz w:val="22"/>
          <w:szCs w:val="18"/>
        </w:rPr>
        <w:t>Revision of S3-222580</w:t>
      </w:r>
    </w:p>
    <w:p w14:paraId="669C69E4" w14:textId="77777777" w:rsidR="006D7E5B" w:rsidRDefault="006D7E5B">
      <w:pPr>
        <w:keepNext/>
        <w:pBdr>
          <w:bottom w:val="single" w:sz="4" w:space="1" w:color="auto"/>
        </w:pBdr>
        <w:tabs>
          <w:tab w:val="right" w:pos="9639"/>
        </w:tabs>
        <w:outlineLvl w:val="0"/>
        <w:rPr>
          <w:rFonts w:ascii="Arial" w:hAnsi="Arial" w:cs="Arial"/>
          <w:b/>
          <w:sz w:val="24"/>
          <w:lang w:val="en-GB"/>
        </w:rPr>
      </w:pPr>
    </w:p>
    <w:p w14:paraId="669C69E5" w14:textId="09238D2A" w:rsidR="006D7E5B" w:rsidRDefault="008F1E11">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Interdigital</w:t>
      </w:r>
      <w:r w:rsidR="00CC0D4A">
        <w:rPr>
          <w:rFonts w:ascii="Arial" w:hAnsi="Arial"/>
          <w:b/>
        </w:rPr>
        <w:t xml:space="preserve">, </w:t>
      </w:r>
      <w:r w:rsidR="0091444E" w:rsidRPr="0091444E">
        <w:rPr>
          <w:rFonts w:ascii="Arial" w:hAnsi="Arial"/>
          <w:b/>
        </w:rPr>
        <w:t xml:space="preserve">AT&amp;T, CableLabs, Convida Wireless, Deutsche Telekom,  JHU, </w:t>
      </w:r>
      <w:r w:rsidR="00720602">
        <w:rPr>
          <w:rFonts w:ascii="Arial" w:hAnsi="Arial"/>
          <w:b/>
        </w:rPr>
        <w:t xml:space="preserve">Intel, </w:t>
      </w:r>
      <w:r w:rsidR="0091444E" w:rsidRPr="0091444E">
        <w:rPr>
          <w:rFonts w:ascii="Arial" w:hAnsi="Arial"/>
          <w:b/>
        </w:rPr>
        <w:t xml:space="preserve">Google, Lenovo, Nokia, </w:t>
      </w:r>
      <w:r w:rsidR="00D875C8">
        <w:rPr>
          <w:rFonts w:ascii="Arial" w:hAnsi="Arial"/>
          <w:b/>
        </w:rPr>
        <w:t xml:space="preserve">NCSC, </w:t>
      </w:r>
      <w:r w:rsidR="0091444E" w:rsidRPr="0091444E">
        <w:rPr>
          <w:rFonts w:ascii="Arial" w:hAnsi="Arial"/>
          <w:b/>
        </w:rPr>
        <w:t xml:space="preserve">Oppo, </w:t>
      </w:r>
      <w:r w:rsidR="00080C32" w:rsidRPr="00080C32">
        <w:rPr>
          <w:rFonts w:ascii="Arial" w:hAnsi="Arial"/>
          <w:b/>
        </w:rPr>
        <w:t>Philips International B.V.</w:t>
      </w:r>
      <w:r w:rsidR="00080C32">
        <w:rPr>
          <w:rFonts w:ascii="Arial" w:hAnsi="Arial"/>
          <w:b/>
        </w:rPr>
        <w:t>,</w:t>
      </w:r>
      <w:r w:rsidR="00080C32" w:rsidRPr="00080C32">
        <w:rPr>
          <w:rFonts w:ascii="Arial" w:hAnsi="Arial"/>
          <w:b/>
        </w:rPr>
        <w:t xml:space="preserve"> </w:t>
      </w:r>
      <w:r w:rsidR="0091444E" w:rsidRPr="0091444E">
        <w:rPr>
          <w:rFonts w:ascii="Arial" w:hAnsi="Arial"/>
          <w:b/>
        </w:rPr>
        <w:t>US NSA, Verizon, Xiaomi, ZTE</w:t>
      </w:r>
    </w:p>
    <w:p w14:paraId="669C69E6" w14:textId="77777777" w:rsidR="006D7E5B" w:rsidRDefault="008F1E1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108786512"/>
      <w:r>
        <w:rPr>
          <w:rFonts w:ascii="Arial" w:hAnsi="Arial" w:cs="Arial"/>
          <w:b/>
        </w:rPr>
        <w:t>Discussion paper for KI #1: Privacy aspects of variable length user identifiers</w:t>
      </w:r>
      <w:bookmarkEnd w:id="1"/>
    </w:p>
    <w:p w14:paraId="669C69E7" w14:textId="77777777" w:rsidR="006D7E5B" w:rsidRDefault="008F1E1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69C69E8" w14:textId="4FC46C1C" w:rsidR="006D7E5B" w:rsidRDefault="008F1E1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A1449F">
        <w:rPr>
          <w:rFonts w:ascii="Arial" w:hAnsi="Arial"/>
          <w:b/>
          <w:lang w:eastAsia="zh-CN"/>
        </w:rPr>
        <w:t>5.</w:t>
      </w:r>
      <w:r w:rsidR="00A1449F" w:rsidRPr="00A1449F">
        <w:rPr>
          <w:rFonts w:ascii="Arial" w:hAnsi="Arial"/>
          <w:b/>
          <w:lang w:eastAsia="zh-CN"/>
        </w:rPr>
        <w:t>4</w:t>
      </w:r>
    </w:p>
    <w:bookmarkEnd w:id="0"/>
    <w:p w14:paraId="669C69E9" w14:textId="77777777" w:rsidR="006D7E5B" w:rsidRDefault="006D7E5B">
      <w:pPr>
        <w:jc w:val="center"/>
        <w:rPr>
          <w:b/>
          <w:bCs/>
          <w:sz w:val="28"/>
          <w:szCs w:val="28"/>
        </w:rPr>
      </w:pPr>
    </w:p>
    <w:p w14:paraId="669C69EA" w14:textId="77777777" w:rsidR="006D7E5B" w:rsidRDefault="006D7E5B"/>
    <w:p w14:paraId="669C69EB" w14:textId="77777777" w:rsidR="006D7E5B" w:rsidRDefault="008F1E11">
      <w:pPr>
        <w:rPr>
          <w:b/>
          <w:bCs/>
          <w:u w:val="single"/>
        </w:rPr>
      </w:pPr>
      <w:r>
        <w:rPr>
          <w:b/>
          <w:bCs/>
          <w:u w:val="single"/>
        </w:rPr>
        <w:t>References:</w:t>
      </w:r>
    </w:p>
    <w:p w14:paraId="669C69EC" w14:textId="77777777" w:rsidR="006D7E5B" w:rsidRDefault="008F1E11">
      <w:pPr>
        <w:rPr>
          <w:rFonts w:cstheme="minorHAnsi"/>
          <w:b/>
          <w:bCs/>
          <w:sz w:val="20"/>
        </w:rPr>
      </w:pPr>
      <w:r>
        <w:rPr>
          <w:rFonts w:cstheme="minorHAnsi"/>
          <w:color w:val="202122"/>
          <w:sz w:val="20"/>
          <w:szCs w:val="20"/>
          <w:shd w:val="clear" w:color="auto" w:fill="FFFFFF"/>
        </w:rPr>
        <w:t xml:space="preserve">[1] “RFC 7542: The Network Access Identifier” </w:t>
      </w:r>
      <w:r>
        <w:t xml:space="preserve">https://datatracker.ietf.org/doc/html/rfc7542 </w:t>
      </w:r>
      <w:r>
        <w:rPr>
          <w:rFonts w:cstheme="minorHAnsi"/>
          <w:bCs/>
          <w:sz w:val="20"/>
        </w:rPr>
        <w:t>[2] 3GPP TS 23.003 V17.6.0 (2022-06) “3rd Generation Partnership Project; Technical Specification Group Core Network and Terminals; Numbering, addressing and identification; (</w:t>
      </w:r>
      <w:r>
        <w:rPr>
          <w:rStyle w:val="ZGSM"/>
          <w:rFonts w:cstheme="minorHAnsi"/>
          <w:bCs/>
          <w:sz w:val="20"/>
        </w:rPr>
        <w:t>Release 17</w:t>
      </w:r>
      <w:r>
        <w:rPr>
          <w:rFonts w:cstheme="minorHAnsi"/>
          <w:bCs/>
          <w:sz w:val="20"/>
        </w:rPr>
        <w:t>)”.</w:t>
      </w:r>
    </w:p>
    <w:p w14:paraId="669C69ED" w14:textId="77777777" w:rsidR="006D7E5B" w:rsidRDefault="006D7E5B">
      <w:pPr>
        <w:pStyle w:val="ZT"/>
        <w:framePr w:wrap="auto" w:hAnchor="text" w:yAlign="inline"/>
        <w:jc w:val="left"/>
        <w:rPr>
          <w:rFonts w:asciiTheme="minorHAnsi" w:hAnsiTheme="minorHAnsi" w:cstheme="minorHAnsi"/>
          <w:b w:val="0"/>
          <w:bCs/>
          <w:sz w:val="20"/>
        </w:rPr>
      </w:pPr>
    </w:p>
    <w:p w14:paraId="669C69EE" w14:textId="77777777" w:rsidR="006D7E5B" w:rsidRDefault="008F1E11">
      <w:pPr>
        <w:pStyle w:val="ZT"/>
        <w:framePr w:wrap="auto" w:hAnchor="text" w:yAlign="inline"/>
        <w:jc w:val="left"/>
        <w:rPr>
          <w:rFonts w:asciiTheme="minorHAnsi" w:hAnsiTheme="minorHAnsi" w:cstheme="minorBidi"/>
          <w:b w:val="0"/>
          <w:sz w:val="20"/>
        </w:rPr>
      </w:pPr>
      <w:r>
        <w:rPr>
          <w:rFonts w:asciiTheme="minorHAnsi" w:hAnsiTheme="minorHAnsi" w:cstheme="minorBidi"/>
          <w:b w:val="0"/>
          <w:sz w:val="20"/>
        </w:rPr>
        <w:t>[3] 3GPP TS 23.501 V17.5.0 (2022-06) 3rd Generation Partnership Project; Technical Specification Group Services and System Aspects; System architecture for the 5G System (5GS); Stage 2 (</w:t>
      </w:r>
      <w:r>
        <w:rPr>
          <w:rStyle w:val="ZGSM"/>
          <w:rFonts w:asciiTheme="minorHAnsi" w:hAnsiTheme="minorHAnsi" w:cstheme="minorBidi"/>
          <w:b w:val="0"/>
          <w:sz w:val="20"/>
        </w:rPr>
        <w:t>Release 17</w:t>
      </w:r>
      <w:r>
        <w:rPr>
          <w:rFonts w:asciiTheme="minorHAnsi" w:hAnsiTheme="minorHAnsi" w:cstheme="minorBidi"/>
          <w:b w:val="0"/>
          <w:sz w:val="20"/>
        </w:rPr>
        <w:t>)”.</w:t>
      </w:r>
    </w:p>
    <w:p w14:paraId="669C69EF" w14:textId="77777777" w:rsidR="006D7E5B" w:rsidRDefault="006D7E5B">
      <w:pPr>
        <w:pStyle w:val="ZT"/>
        <w:framePr w:wrap="auto" w:hAnchor="text" w:yAlign="inline"/>
        <w:jc w:val="left"/>
        <w:rPr>
          <w:rFonts w:asciiTheme="minorHAnsi" w:hAnsiTheme="minorHAnsi" w:cstheme="minorHAnsi"/>
          <w:b w:val="0"/>
          <w:bCs/>
          <w:sz w:val="20"/>
        </w:rPr>
      </w:pPr>
    </w:p>
    <w:p w14:paraId="669C69F0" w14:textId="77777777" w:rsidR="006D7E5B" w:rsidRDefault="008F1E11">
      <w:pPr>
        <w:pStyle w:val="ZT"/>
        <w:framePr w:wrap="auto" w:hAnchor="text" w:yAlign="inline"/>
        <w:jc w:val="left"/>
        <w:rPr>
          <w:rFonts w:asciiTheme="minorHAnsi" w:hAnsiTheme="minorHAnsi" w:cstheme="minorHAnsi"/>
          <w:b w:val="0"/>
          <w:bCs/>
          <w:sz w:val="20"/>
        </w:rPr>
      </w:pPr>
      <w:r>
        <w:rPr>
          <w:rFonts w:asciiTheme="minorHAnsi" w:hAnsiTheme="minorHAnsi" w:cstheme="minorHAnsi"/>
          <w:b w:val="0"/>
          <w:bCs/>
          <w:sz w:val="20"/>
        </w:rPr>
        <w:t xml:space="preserve">                                                                            ---------------------------------------</w:t>
      </w:r>
    </w:p>
    <w:p w14:paraId="669C69F1" w14:textId="77777777" w:rsidR="006D7E5B" w:rsidRDefault="008F1E11">
      <w:pPr>
        <w:pStyle w:val="NormalWeb"/>
        <w:rPr>
          <w:rFonts w:asciiTheme="minorHAnsi" w:hAnsiTheme="minorHAnsi" w:cstheme="minorBidi"/>
          <w:color w:val="000000"/>
          <w:sz w:val="22"/>
          <w:szCs w:val="22"/>
        </w:rPr>
      </w:pPr>
      <w:r>
        <w:rPr>
          <w:rFonts w:asciiTheme="minorHAnsi" w:hAnsiTheme="minorHAnsi" w:cstheme="minorBidi"/>
          <w:color w:val="000000" w:themeColor="text1"/>
          <w:sz w:val="22"/>
          <w:szCs w:val="22"/>
        </w:rPr>
        <w:t>The quotations from TS 23.501, TS 23.003, and RFC 7542 demonstrate the length of the username field of the SUPI in NAI format is allowed to be variable. This length variability allows for flexibility and adaptability of SUPIs in NAI format used in operators' networks.</w:t>
      </w:r>
    </w:p>
    <w:p w14:paraId="669C69F2" w14:textId="77777777" w:rsidR="006D7E5B" w:rsidRDefault="006D7E5B"/>
    <w:p w14:paraId="669C69F5" w14:textId="57047ED4" w:rsidR="006D7E5B" w:rsidRDefault="008F1E11">
      <w:pPr>
        <w:rPr>
          <w:rFonts w:cstheme="minorHAnsi"/>
          <w:b/>
          <w:bCs/>
        </w:rPr>
      </w:pPr>
      <w:r>
        <w:rPr>
          <w:rFonts w:cstheme="minorHAnsi"/>
          <w:b/>
          <w:bCs/>
        </w:rPr>
        <w:t xml:space="preserve">Observation # 1 </w:t>
      </w:r>
    </w:p>
    <w:p w14:paraId="669C69F6" w14:textId="297BB4DC" w:rsidR="006D7E5B" w:rsidRDefault="00A1449F">
      <w:pPr>
        <w:rPr>
          <w:shd w:val="clear" w:color="auto" w:fill="FFFFFF"/>
        </w:rPr>
      </w:pPr>
      <w:bookmarkStart w:id="2" w:name="_Hlk114043379"/>
      <w:r>
        <w:rPr>
          <w:shd w:val="clear" w:color="auto" w:fill="FFFFFF"/>
        </w:rPr>
        <w:t xml:space="preserve">Since Rel-16, </w:t>
      </w:r>
      <w:r>
        <w:t xml:space="preserve">subscriptions (e.g., NPN subscriptions) </w:t>
      </w:r>
      <w:r>
        <w:rPr>
          <w:shd w:val="clear" w:color="auto" w:fill="FFFFFF"/>
        </w:rPr>
        <w:t xml:space="preserve">have already been assigned NAI SUPIs of </w:t>
      </w:r>
      <w:r>
        <w:t xml:space="preserve">variable and </w:t>
      </w:r>
      <w:r>
        <w:rPr>
          <w:shd w:val="clear" w:color="auto" w:fill="FFFFFF"/>
        </w:rPr>
        <w:t>unequal length</w:t>
      </w:r>
      <w:r>
        <w:t xml:space="preserve"> that reflect the names that the end-users of those NPN subscriptions are using</w:t>
      </w:r>
      <w:r>
        <w:rPr>
          <w:shd w:val="clear" w:color="auto" w:fill="FFFFFF"/>
        </w:rPr>
        <w:t xml:space="preserve">.  If we assume that operators will now move to a scheme where usernames are all of equal length, then this would require users to be assigned new SUPIs when they upgrade devices. </w:t>
      </w:r>
    </w:p>
    <w:p w14:paraId="3EE6D0FF" w14:textId="77777777" w:rsidR="001539AA" w:rsidRDefault="001539AA">
      <w:pPr>
        <w:rPr>
          <w:shd w:val="clear" w:color="auto" w:fill="FFFFFF"/>
        </w:rPr>
      </w:pPr>
    </w:p>
    <w:p w14:paraId="669C69F7" w14:textId="77777777" w:rsidR="006D7E5B" w:rsidRDefault="008F1E11">
      <w:pPr>
        <w:rPr>
          <w:rFonts w:cstheme="minorHAnsi"/>
          <w:b/>
          <w:bCs/>
        </w:rPr>
      </w:pPr>
      <w:r>
        <w:rPr>
          <w:rFonts w:cstheme="minorHAnsi"/>
          <w:b/>
          <w:bCs/>
        </w:rPr>
        <w:t>Observation # 2</w:t>
      </w:r>
    </w:p>
    <w:p w14:paraId="6A0E2A34" w14:textId="77F932B1" w:rsidR="000E1582" w:rsidRDefault="000E1582">
      <w:pPr>
        <w:rPr>
          <w:shd w:val="clear" w:color="auto" w:fill="FFFFFF"/>
        </w:rPr>
      </w:pPr>
      <w:r w:rsidRPr="000E1582">
        <w:rPr>
          <w:shd w:val="clear" w:color="auto" w:fill="FFFFFF"/>
        </w:rPr>
        <w:t xml:space="preserve">The operators may use SUPIs in NAI format that are provided by a NPN service provider. The SUPI privacy support regardless of format should be provided "out of the box" by the 5GS as an option to ensure backwards compatibility  </w:t>
      </w:r>
      <w:r>
        <w:rPr>
          <w:shd w:val="clear" w:color="auto" w:fill="FFFFFF"/>
        </w:rPr>
        <w:t>allowing to</w:t>
      </w:r>
      <w:r w:rsidRPr="000E1582">
        <w:rPr>
          <w:shd w:val="clear" w:color="auto" w:fill="FFFFFF"/>
        </w:rPr>
        <w:t xml:space="preserve"> use these SUPIs in NAI format as is.</w:t>
      </w:r>
    </w:p>
    <w:bookmarkEnd w:id="2"/>
    <w:p w14:paraId="669C69F9" w14:textId="77777777" w:rsidR="006D7E5B" w:rsidRDefault="006D7E5B">
      <w:pPr>
        <w:rPr>
          <w:rFonts w:cstheme="minorHAnsi"/>
          <w:shd w:val="clear" w:color="auto" w:fill="FFFFFF"/>
        </w:rPr>
      </w:pPr>
    </w:p>
    <w:p w14:paraId="669C69FA" w14:textId="77777777" w:rsidR="006D7E5B" w:rsidRDefault="008F1E11">
      <w:pPr>
        <w:rPr>
          <w:rFonts w:cstheme="minorHAnsi"/>
          <w:color w:val="323130"/>
          <w:shd w:val="clear" w:color="auto" w:fill="FFFFFF"/>
        </w:rPr>
      </w:pPr>
      <w:r>
        <w:rPr>
          <w:rFonts w:cstheme="minorHAnsi"/>
          <w:b/>
          <w:bCs/>
        </w:rPr>
        <w:lastRenderedPageBreak/>
        <w:t>Observation # 3</w:t>
      </w:r>
    </w:p>
    <w:p w14:paraId="10A8EAB3" w14:textId="0EFB4A6E" w:rsidR="001539AA" w:rsidRDefault="001539AA" w:rsidP="001539AA">
      <w:pPr>
        <w:rPr>
          <w:rFonts w:cstheme="minorHAnsi"/>
          <w:color w:val="323130"/>
          <w:shd w:val="clear" w:color="auto" w:fill="FFFFFF"/>
        </w:rPr>
      </w:pPr>
      <w:r>
        <w:rPr>
          <w:rFonts w:cstheme="minorHAnsi"/>
          <w:color w:val="323130"/>
          <w:shd w:val="clear" w:color="auto" w:fill="FFFFFF"/>
        </w:rPr>
        <w:t>RFC 7542 specifies only minimum (</w:t>
      </w:r>
      <w:r w:rsidR="00DA722E">
        <w:rPr>
          <w:rFonts w:cstheme="minorHAnsi"/>
          <w:color w:val="323130"/>
          <w:shd w:val="clear" w:color="auto" w:fill="FFFFFF"/>
        </w:rPr>
        <w:t>6</w:t>
      </w:r>
      <w:r>
        <w:rPr>
          <w:rFonts w:cstheme="minorHAnsi"/>
          <w:color w:val="323130"/>
          <w:shd w:val="clear" w:color="auto" w:fill="FFFFFF"/>
        </w:rPr>
        <w:t>3 octets) and maximum (253 octets</w:t>
      </w:r>
      <w:r w:rsidR="00DA722E">
        <w:rPr>
          <w:rFonts w:cstheme="minorHAnsi"/>
          <w:color w:val="323130"/>
          <w:shd w:val="clear" w:color="auto" w:fill="FFFFFF"/>
        </w:rPr>
        <w:t xml:space="preserve"> recommended</w:t>
      </w:r>
      <w:r>
        <w:rPr>
          <w:rFonts w:cstheme="minorHAnsi"/>
          <w:color w:val="323130"/>
          <w:shd w:val="clear" w:color="auto" w:fill="FFFFFF"/>
        </w:rPr>
        <w:t xml:space="preserve">) length of supported NAI. (see the excerpt from RFC 7542 in the </w:t>
      </w:r>
      <w:r w:rsidR="00486CD7">
        <w:rPr>
          <w:rFonts w:cstheme="minorHAnsi"/>
          <w:color w:val="323130"/>
          <w:shd w:val="clear" w:color="auto" w:fill="FFFFFF"/>
        </w:rPr>
        <w:t>Annex of this discussion paper.</w:t>
      </w:r>
    </w:p>
    <w:p w14:paraId="669C69FC" w14:textId="3123EF51" w:rsidR="006D7E5B" w:rsidRDefault="006D7E5B">
      <w:pPr>
        <w:rPr>
          <w:rFonts w:cstheme="minorHAnsi"/>
        </w:rPr>
      </w:pPr>
    </w:p>
    <w:p w14:paraId="669C69FD" w14:textId="77777777" w:rsidR="006D7E5B" w:rsidRDefault="008F1E11">
      <w:pPr>
        <w:rPr>
          <w:rFonts w:cstheme="minorHAnsi"/>
          <w:b/>
          <w:bCs/>
        </w:rPr>
      </w:pPr>
      <w:r>
        <w:rPr>
          <w:rFonts w:cstheme="minorHAnsi"/>
          <w:b/>
          <w:bCs/>
        </w:rPr>
        <w:t>Observation # 4</w:t>
      </w:r>
    </w:p>
    <w:p w14:paraId="669C69FE" w14:textId="4AA0D6DC" w:rsidR="006D7E5B" w:rsidRDefault="008F1E11">
      <w:r>
        <w:t xml:space="preserve">The excerpt from TS 23.003 (see Additional Information </w:t>
      </w:r>
      <w:r w:rsidR="00486CD7">
        <w:t xml:space="preserve">Annex </w:t>
      </w:r>
      <w:r>
        <w:t xml:space="preserve">of this contribution) depicts the variable length username. As the </w:t>
      </w:r>
      <w:r>
        <w:rPr>
          <w:rFonts w:eastAsia="Times New Roman"/>
          <w:color w:val="000000" w:themeColor="text1"/>
        </w:rPr>
        <w:t>ECC ephemeral public key and MAC tag value are of fixed length. The cipher text value comprises of hexadecimal digits as shown in the figure below:</w:t>
      </w:r>
    </w:p>
    <w:p w14:paraId="669C69FF" w14:textId="77777777" w:rsidR="006D7E5B" w:rsidRDefault="006D7E5B">
      <w:pPr>
        <w:rPr>
          <w:rFonts w:eastAsia="Times New Roman"/>
          <w:color w:val="000000" w:themeColor="text1"/>
        </w:rPr>
      </w:pPr>
    </w:p>
    <w:p w14:paraId="669C6A00" w14:textId="77777777" w:rsidR="006D7E5B" w:rsidRDefault="008F1E11">
      <w:r>
        <w:rPr>
          <w:noProof/>
        </w:rPr>
        <w:drawing>
          <wp:inline distT="0" distB="0" distL="0" distR="0" wp14:anchorId="669C6A3E" wp14:editId="669C6A3F">
            <wp:extent cx="5943600" cy="1907540"/>
            <wp:effectExtent l="0" t="0" r="0" b="0"/>
            <wp:docPr id="121505114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943600" cy="1907540"/>
                    </a:xfrm>
                    <a:prstGeom prst="rect">
                      <a:avLst/>
                    </a:prstGeom>
                  </pic:spPr>
                </pic:pic>
              </a:graphicData>
            </a:graphic>
          </wp:inline>
        </w:drawing>
      </w:r>
    </w:p>
    <w:p w14:paraId="669C6A01" w14:textId="77777777" w:rsidR="006D7E5B" w:rsidRDefault="008F1E11">
      <w:pPr>
        <w:rPr>
          <w:rFonts w:cstheme="minorHAnsi"/>
          <w:b/>
          <w:bCs/>
        </w:rPr>
      </w:pPr>
      <w:r>
        <w:rPr>
          <w:rFonts w:cstheme="minorHAnsi"/>
          <w:b/>
          <w:bCs/>
        </w:rPr>
        <w:t>Observation # 5</w:t>
      </w:r>
    </w:p>
    <w:p w14:paraId="669C6A02" w14:textId="77777777" w:rsidR="006D7E5B" w:rsidRDefault="008F1E11">
      <w:pPr>
        <w:rPr>
          <w:rFonts w:cstheme="minorHAnsi"/>
        </w:rPr>
      </w:pPr>
      <w:r>
        <w:rPr>
          <w:rFonts w:cstheme="minorHAnsi"/>
        </w:rPr>
        <w:t>Excerpt from TS 23.501 implies that the non IMSI based SUPI contains the username and all the required information required by the network operation and it can have a flexible length.</w:t>
      </w:r>
    </w:p>
    <w:p w14:paraId="669C6A04" w14:textId="46CAACA5" w:rsidR="006D7E5B" w:rsidRPr="00486CD7" w:rsidRDefault="008F1E11" w:rsidP="00486CD7">
      <w:pPr>
        <w:pStyle w:val="ListParagraph"/>
        <w:numPr>
          <w:ilvl w:val="0"/>
          <w:numId w:val="1"/>
        </w:numPr>
        <w:rPr>
          <w:rFonts w:cstheme="minorHAnsi"/>
        </w:rPr>
      </w:pPr>
      <w:r w:rsidRPr="00486CD7">
        <w:rPr>
          <w:rFonts w:cstheme="minorHAnsi"/>
        </w:rPr>
        <w:t>For SUPIs taking the form of a non-IMSI based NAI, the subscription identifier part of the SUPI includes the "username" portion of the NAI as defined in NAI RFC 7542 [57].</w:t>
      </w:r>
    </w:p>
    <w:p w14:paraId="669C6A05" w14:textId="77777777" w:rsidR="006D7E5B" w:rsidRDefault="006D7E5B">
      <w:pPr>
        <w:pStyle w:val="ListParagraph"/>
        <w:rPr>
          <w:rFonts w:cstheme="minorHAnsi"/>
        </w:rPr>
      </w:pPr>
    </w:p>
    <w:p w14:paraId="669C6A09" w14:textId="77777777" w:rsidR="006D7E5B" w:rsidRDefault="008F1E11">
      <w:pPr>
        <w:rPr>
          <w:rFonts w:cstheme="minorHAnsi"/>
          <w:b/>
          <w:bCs/>
        </w:rPr>
      </w:pPr>
      <w:r>
        <w:rPr>
          <w:rFonts w:cstheme="minorHAnsi"/>
          <w:b/>
          <w:bCs/>
        </w:rPr>
        <w:t>Proposal #1</w:t>
      </w:r>
    </w:p>
    <w:p w14:paraId="669C6A0A" w14:textId="77777777" w:rsidR="006D7E5B" w:rsidRDefault="008F1E11">
      <w:pPr>
        <w:rPr>
          <w:rFonts w:cstheme="minorHAnsi"/>
        </w:rPr>
      </w:pPr>
      <w:r>
        <w:rPr>
          <w:rFonts w:cstheme="minorHAnsi"/>
        </w:rPr>
        <w:t>Remove EN#1 in KI#1 and replace it with the following text:</w:t>
      </w:r>
    </w:p>
    <w:p w14:paraId="669C6A0B" w14:textId="0E8B65F9" w:rsidR="006D7E5B" w:rsidRDefault="008F1E11" w:rsidP="0C2F2807">
      <w:pPr>
        <w:ind w:left="720"/>
      </w:pPr>
      <w:bookmarkStart w:id="3" w:name="_Hlk114043795"/>
      <w:r w:rsidRPr="0C2F2807">
        <w:t xml:space="preserve">Operators may prefer to have variable length username </w:t>
      </w:r>
      <w:r w:rsidRPr="0C2F2807">
        <w:rPr>
          <w:rFonts w:eastAsia="Times New Roman"/>
        </w:rPr>
        <w:t xml:space="preserve">to preserve backwards compatibility and operators’ choice </w:t>
      </w:r>
      <w:r w:rsidRPr="0C2F2807">
        <w:t>while being reluctant to manage the “username” field of SUPI in NAI format length directly and securing the following:</w:t>
      </w:r>
    </w:p>
    <w:p w14:paraId="669C6A0C" w14:textId="77777777" w:rsidR="006D7E5B" w:rsidRDefault="008F1E11" w:rsidP="0C2F2807">
      <w:pPr>
        <w:ind w:left="720"/>
      </w:pPr>
      <w:r w:rsidRPr="0C2F2807">
        <w:t>- preserving the privacy of SUPI in NAI format and to remedy privacy leakage.</w:t>
      </w:r>
    </w:p>
    <w:p w14:paraId="669C6A0D" w14:textId="77777777" w:rsidR="006D7E5B" w:rsidRDefault="008F1E11" w:rsidP="0C2F2807">
      <w:pPr>
        <w:ind w:left="720"/>
      </w:pPr>
      <w:r w:rsidRPr="0C2F2807">
        <w:t>- ensuring backwards compatibility with e.g., SUPIs used for NPN subscriptions, used since before the username leakage vulnerability was discovered.</w:t>
      </w:r>
    </w:p>
    <w:bookmarkEnd w:id="3"/>
    <w:p w14:paraId="669C6A0E" w14:textId="77777777" w:rsidR="006D7E5B" w:rsidRDefault="006D7E5B">
      <w:pPr>
        <w:rPr>
          <w:rFonts w:cstheme="minorHAnsi"/>
        </w:rPr>
      </w:pPr>
    </w:p>
    <w:p w14:paraId="669C6A0F" w14:textId="7BBBC442" w:rsidR="006D7E5B" w:rsidRDefault="008F1E11" w:rsidP="0C2F2807">
      <w:bookmarkStart w:id="4" w:name="_Hlk114043672"/>
      <w:r w:rsidRPr="0C2F2807">
        <w:lastRenderedPageBreak/>
        <w:t xml:space="preserve">Remove EN#2 and EN#3 in KI#1 since 3GPP is contribution-driven </w:t>
      </w:r>
      <w:r w:rsidR="592035D2" w:rsidRPr="0C2F2807">
        <w:t xml:space="preserve">and new threats and requirements can be added </w:t>
      </w:r>
      <w:r w:rsidRPr="0C2F2807">
        <w:t xml:space="preserve">with or without </w:t>
      </w:r>
      <w:r w:rsidR="71B94E5E" w:rsidRPr="0C2F2807">
        <w:t xml:space="preserve">having </w:t>
      </w:r>
      <w:r w:rsidRPr="0C2F2807">
        <w:t>such redundant Editor’s Notes.</w:t>
      </w:r>
    </w:p>
    <w:bookmarkEnd w:id="4"/>
    <w:p w14:paraId="669C6A12" w14:textId="13891993" w:rsidR="006D7E5B" w:rsidRDefault="001539AA">
      <w:pPr>
        <w:rPr>
          <w:rFonts w:cstheme="minorHAnsi"/>
          <w:b/>
          <w:bCs/>
        </w:rPr>
      </w:pPr>
      <w:r>
        <w:rPr>
          <w:rFonts w:cstheme="minorHAnsi"/>
          <w:b/>
          <w:bCs/>
        </w:rPr>
        <w:t xml:space="preserve">Annex: </w:t>
      </w:r>
      <w:r w:rsidR="008F1E11">
        <w:rPr>
          <w:rFonts w:cstheme="minorHAnsi"/>
          <w:b/>
          <w:bCs/>
        </w:rPr>
        <w:t>Additional Information:</w:t>
      </w:r>
    </w:p>
    <w:p w14:paraId="437C0C26" w14:textId="77777777" w:rsidR="00486CD7" w:rsidRPr="00C21E4E" w:rsidRDefault="00486CD7" w:rsidP="00486CD7">
      <w:pPr>
        <w:rPr>
          <w:rFonts w:cstheme="minorHAnsi"/>
          <w:b/>
          <w:bCs/>
          <w:color w:val="323130"/>
          <w:shd w:val="clear" w:color="auto" w:fill="FFFFFF"/>
        </w:rPr>
      </w:pPr>
      <w:r w:rsidRPr="00C21E4E">
        <w:rPr>
          <w:rFonts w:cstheme="minorHAnsi"/>
          <w:b/>
          <w:bCs/>
          <w:color w:val="323130"/>
          <w:shd w:val="clear" w:color="auto" w:fill="FFFFFF"/>
        </w:rPr>
        <w:t>Excerpt from RFC 7542</w:t>
      </w:r>
    </w:p>
    <w:p w14:paraId="1C654F68" w14:textId="08EAD763" w:rsidR="001539AA" w:rsidRDefault="00486CD7" w:rsidP="00486CD7">
      <w:pPr>
        <w:pStyle w:val="NormalWeb"/>
        <w:rPr>
          <w:rFonts w:asciiTheme="minorHAnsi" w:hAnsiTheme="minorHAnsi" w:cstheme="minorHAnsi"/>
          <w:color w:val="000000"/>
          <w:sz w:val="22"/>
          <w:szCs w:val="22"/>
        </w:rPr>
      </w:pPr>
      <w:r>
        <w:rPr>
          <w:rFonts w:cstheme="minorHAnsi"/>
        </w:rPr>
        <w:t>Devices handling NAIs MUST support an NAI length of at least 72 octets.  Devices should support an NAI length of 253 octets.</w:t>
      </w:r>
    </w:p>
    <w:p w14:paraId="669C6A13" w14:textId="78FCFC3B"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TS 23.003, clause 28.7.2, NAI format for SUPI</w:t>
      </w:r>
    </w:p>
    <w:p w14:paraId="669C6A14"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"The NAI for SUPI shall have the form username@realm as specified in clause 2.2 of IETF RFC 7542 [126].</w:t>
      </w:r>
    </w:p>
    <w:p w14:paraId="669C6A15"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A SUPI containing a network specific identifier shall take the form of a Network Access Identifier (NAI). See clause 5.9.2 of 3GPP TS 23.501 [119] for the definition and use of the network specific identifier."</w:t>
      </w:r>
    </w:p>
    <w:p w14:paraId="669C6A16"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RFC 7542, clause 2.2:</w:t>
      </w:r>
    </w:p>
    <w:p w14:paraId="669C6A17"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2.2. Formal Syntax</w:t>
      </w:r>
    </w:p>
    <w:p w14:paraId="669C6A18"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The grammar for the NAI is given below, described in Augmented</w:t>
      </w:r>
    </w:p>
    <w:p w14:paraId="669C6A19"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Backus-Naur Form (ABNF) as documented in [RFC5234].</w:t>
      </w:r>
    </w:p>
    <w:p w14:paraId="669C6A1A"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nai = utf8-username</w:t>
      </w:r>
    </w:p>
    <w:p w14:paraId="669C6A1B"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nai =/ "@" utf8-realm</w:t>
      </w:r>
    </w:p>
    <w:p w14:paraId="669C6A1C"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nai =/ utf8-username "@" utf8-realm</w:t>
      </w:r>
    </w:p>
    <w:p w14:paraId="669C6A1D"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utf8-username = dot-string</w:t>
      </w:r>
    </w:p>
    <w:p w14:paraId="669C6A1E" w14:textId="77777777" w:rsidR="006D7E5B" w:rsidRDefault="008F1E11">
      <w:pPr>
        <w:pStyle w:val="NormalWeb"/>
        <w:rPr>
          <w:rFonts w:asciiTheme="minorHAnsi" w:hAnsiTheme="minorHAnsi" w:cstheme="minorHAnsi"/>
          <w:color w:val="000000"/>
          <w:sz w:val="22"/>
          <w:szCs w:val="22"/>
        </w:rPr>
      </w:pPr>
      <w:r>
        <w:rPr>
          <w:rFonts w:asciiTheme="minorHAnsi" w:hAnsiTheme="minorHAnsi" w:cstheme="minorHAnsi"/>
          <w:color w:val="000000"/>
          <w:sz w:val="22"/>
          <w:szCs w:val="22"/>
        </w:rPr>
        <w:t>dot-string = string *(</w:t>
      </w:r>
    </w:p>
    <w:p w14:paraId="669C6A1F" w14:textId="77777777" w:rsidR="006D7E5B" w:rsidRDefault="008F1E11">
      <w:pPr>
        <w:rPr>
          <w:rFonts w:cstheme="minorHAnsi"/>
        </w:rPr>
      </w:pPr>
      <w:r>
        <w:rPr>
          <w:rFonts w:cstheme="minorHAnsi"/>
        </w:rPr>
        <w:t>Excerpt from TS 23.003</w:t>
      </w:r>
    </w:p>
    <w:p w14:paraId="669C6A20" w14:textId="77777777" w:rsidR="006D7E5B" w:rsidRDefault="008F1E11">
      <w:pPr>
        <w:rPr>
          <w:rFonts w:cstheme="minorHAnsi"/>
        </w:rPr>
      </w:pPr>
      <w:r>
        <w:rPr>
          <w:rFonts w:cstheme="minorHAnsi"/>
        </w:rPr>
        <w:t xml:space="preserve">The scheme output is formatted as a variable length of characters as specified for the username in clause 2.2 of IETF RFC 7542 [126]. </w:t>
      </w:r>
    </w:p>
    <w:p w14:paraId="669C6A21" w14:textId="77777777" w:rsidR="006D7E5B" w:rsidRDefault="008F1E11">
      <w:pPr>
        <w:rPr>
          <w:rFonts w:cstheme="minorHAnsi"/>
        </w:rPr>
      </w:pPr>
      <w:r>
        <w:rPr>
          <w:rFonts w:cstheme="minorHAnsi"/>
        </w:rPr>
        <w:t>NOTE 2: If the null protection scheme is used, the NFs can derive SUPI from SUCI when needed. The AMF derives SUPI used for AUSF discovery from SUCI when the Routing-Indicator is zero and the protection scheme is null. Figure 2.2B-3 defines the scheme output for the Elliptic Curve Integrated Encryption Scheme Profile A.</w:t>
      </w:r>
    </w:p>
    <w:p w14:paraId="669C6A22" w14:textId="77777777" w:rsidR="006D7E5B" w:rsidRDefault="008F1E11">
      <w:pPr>
        <w:rPr>
          <w:rFonts w:cstheme="minorHAnsi"/>
        </w:rPr>
      </w:pPr>
      <w:r>
        <w:rPr>
          <w:rFonts w:cstheme="minorHAnsi"/>
          <w:noProof/>
        </w:rPr>
        <w:lastRenderedPageBreak/>
        <w:drawing>
          <wp:inline distT="0" distB="0" distL="0" distR="0" wp14:anchorId="669C6A40" wp14:editId="669C6A41">
            <wp:extent cx="5943600" cy="190754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8"/>
                    <a:stretch>
                      <a:fillRect/>
                    </a:stretch>
                  </pic:blipFill>
                  <pic:spPr>
                    <a:xfrm>
                      <a:off x="0" y="0"/>
                      <a:ext cx="5943600" cy="1907540"/>
                    </a:xfrm>
                    <a:prstGeom prst="rect">
                      <a:avLst/>
                    </a:prstGeom>
                  </pic:spPr>
                </pic:pic>
              </a:graphicData>
            </a:graphic>
          </wp:inline>
        </w:drawing>
      </w:r>
    </w:p>
    <w:p w14:paraId="669C6A23" w14:textId="77777777" w:rsidR="006D7E5B" w:rsidRDefault="008F1E11">
      <w:pPr>
        <w:pStyle w:val="ListParagraph"/>
        <w:numPr>
          <w:ilvl w:val="0"/>
          <w:numId w:val="2"/>
        </w:numPr>
        <w:spacing w:before="100" w:beforeAutospacing="1" w:after="100" w:afterAutospacing="1" w:line="240" w:lineRule="auto"/>
        <w:rPr>
          <w:rFonts w:eastAsia="Times New Roman" w:cstheme="minorHAnsi"/>
          <w:color w:val="000000"/>
        </w:rPr>
      </w:pPr>
      <w:r>
        <w:rPr>
          <w:rFonts w:eastAsia="Times New Roman" w:cstheme="minorHAnsi"/>
          <w:color w:val="000000"/>
        </w:rPr>
        <w:t>The ECC ephemeral public key is formatted as 64 hexadecimal digits, which allows to encode 256 bits.</w:t>
      </w:r>
    </w:p>
    <w:p w14:paraId="669C6A24" w14:textId="77777777" w:rsidR="006D7E5B" w:rsidRDefault="008F1E11">
      <w:pPr>
        <w:pStyle w:val="ListParagraph"/>
        <w:numPr>
          <w:ilvl w:val="0"/>
          <w:numId w:val="2"/>
        </w:numPr>
        <w:spacing w:before="100" w:beforeAutospacing="1" w:after="100" w:afterAutospacing="1" w:line="240" w:lineRule="auto"/>
        <w:rPr>
          <w:rFonts w:eastAsia="Times New Roman" w:cstheme="minorHAnsi"/>
          <w:color w:val="000000"/>
        </w:rPr>
      </w:pPr>
      <w:r>
        <w:rPr>
          <w:rFonts w:eastAsia="Times New Roman" w:cstheme="minorHAnsi"/>
          <w:i/>
          <w:iCs/>
          <w:color w:val="000000"/>
        </w:rPr>
        <w:t>The ciphertext value is formatted as a variable length of hexadecimal digits</w:t>
      </w:r>
      <w:r>
        <w:rPr>
          <w:rFonts w:eastAsia="Times New Roman" w:cstheme="minorHAnsi"/>
          <w:color w:val="000000"/>
        </w:rPr>
        <w:t>.</w:t>
      </w:r>
    </w:p>
    <w:p w14:paraId="669C6A25" w14:textId="77777777" w:rsidR="006D7E5B" w:rsidRDefault="008F1E11">
      <w:pPr>
        <w:pStyle w:val="ListParagraph"/>
        <w:numPr>
          <w:ilvl w:val="0"/>
          <w:numId w:val="2"/>
        </w:numPr>
        <w:spacing w:before="100" w:beforeAutospacing="1" w:after="100" w:afterAutospacing="1" w:line="240" w:lineRule="auto"/>
        <w:rPr>
          <w:rFonts w:eastAsia="Times New Roman" w:cstheme="minorHAnsi"/>
          <w:color w:val="000000"/>
        </w:rPr>
      </w:pPr>
      <w:r>
        <w:rPr>
          <w:rFonts w:eastAsia="Times New Roman" w:cstheme="minorHAnsi"/>
          <w:color w:val="000000"/>
        </w:rPr>
        <w:t>The MAC tag value is formatted as 16 hexadecimal digits, which allows to encode 64 bits.</w:t>
      </w:r>
    </w:p>
    <w:p w14:paraId="669C6A26" w14:textId="77777777" w:rsidR="006D7E5B" w:rsidRDefault="006D7E5B"/>
    <w:p w14:paraId="669C6A27" w14:textId="77777777" w:rsidR="006D7E5B" w:rsidRDefault="008F1E11">
      <w:r>
        <w:t>Excerpt from ITU-T Rec. E.212</w:t>
      </w:r>
    </w:p>
    <w:p w14:paraId="669C6A28" w14:textId="77777777" w:rsidR="006D7E5B" w:rsidRDefault="008F1E11">
      <w:r>
        <w:t>3.2 international mobile subscription identity (IMSI): The IMSI is a string of decimal digits, up to a maximum length of 15 digits, which identifies a unique subscription. The IMSI consists of three fields: the mobile country code (MCC), the mobile network code (MNC), and the mobile subscription identification number (MSIN).</w:t>
      </w:r>
    </w:p>
    <w:p w14:paraId="669C6A29" w14:textId="77777777" w:rsidR="006D7E5B" w:rsidRDefault="008F1E11">
      <w:r>
        <w:t>…</w:t>
      </w:r>
    </w:p>
    <w:p w14:paraId="669C6A2A" w14:textId="77777777" w:rsidR="006D7E5B" w:rsidRDefault="008F1E11">
      <w:r>
        <w:t>3.5 mobile subscription identification number (MSIN): The MSIN is the third field of the IMSI, it is up to 10 digits in length, and is administered by the relevant MNC assignee to identify individual subscriptions.</w:t>
      </w:r>
    </w:p>
    <w:p w14:paraId="669C6A2B" w14:textId="77777777" w:rsidR="006D7E5B" w:rsidRDefault="008F1E11">
      <w:r>
        <w:t>…</w:t>
      </w:r>
    </w:p>
    <w:p w14:paraId="669C6A2C" w14:textId="77777777" w:rsidR="006D7E5B" w:rsidRDefault="008F1E11">
      <w:r>
        <w:t xml:space="preserve">5 Considerations </w:t>
      </w:r>
    </w:p>
    <w:p w14:paraId="669C6A2D" w14:textId="77777777" w:rsidR="006D7E5B" w:rsidRDefault="008F1E11">
      <w:r>
        <w:t xml:space="preserve">The considerations that form the basis for this international identification plan for networks and subscriptions are as follows: </w:t>
      </w:r>
    </w:p>
    <w:p w14:paraId="669C6A2E" w14:textId="77777777" w:rsidR="006D7E5B" w:rsidRDefault="008F1E11">
      <w:r>
        <w:t xml:space="preserve">a) The assignment of E.212 resources is in conformance with the principles in [ITU-T E.190]. </w:t>
      </w:r>
    </w:p>
    <w:p w14:paraId="669C6A2F" w14:textId="77777777" w:rsidR="006D7E5B" w:rsidRDefault="008F1E11">
      <w:r>
        <w:t xml:space="preserve">b) There may be more than one public network offering such services in a country. </w:t>
      </w:r>
    </w:p>
    <w:p w14:paraId="669C6A30" w14:textId="77777777" w:rsidR="006D7E5B" w:rsidRDefault="008F1E11">
      <w:r>
        <w:t xml:space="preserve">c) The MNC consists of 2 or 3 digits and the length of the MNC is a national matter. </w:t>
      </w:r>
    </w:p>
    <w:p w14:paraId="669C6A31" w14:textId="77777777" w:rsidR="006D7E5B" w:rsidRPr="00B236CE" w:rsidRDefault="008F1E11">
      <w:r w:rsidRPr="00B236CE">
        <w:t xml:space="preserve">d) The number of digits of the MSINs is determined by the relevant MNC assignee in accordance with the national policy. </w:t>
      </w:r>
    </w:p>
    <w:p w14:paraId="669C6A32" w14:textId="77777777" w:rsidR="006D7E5B" w:rsidRPr="00B236CE" w:rsidRDefault="008F1E11">
      <w:r w:rsidRPr="00B236CE">
        <w:t xml:space="preserve">e) The IMSI shall not exceed 15 digits in length. </w:t>
      </w:r>
    </w:p>
    <w:p w14:paraId="669C6A33" w14:textId="77777777" w:rsidR="006D7E5B" w:rsidRDefault="008F1E11">
      <w:r w:rsidRPr="00B236CE">
        <w:t>f) For 90x MCCs, the length of MNCs is determined by the Director of TSB and the length of the MSINs is determined by the relevant MNC assignee in accordance with the relevant ITU-T Recommendations.</w:t>
      </w:r>
      <w:r>
        <w:t xml:space="preserve"> </w:t>
      </w:r>
    </w:p>
    <w:p w14:paraId="669C6A34" w14:textId="77777777" w:rsidR="006D7E5B" w:rsidRDefault="008F1E11">
      <w:r>
        <w:lastRenderedPageBreak/>
        <w:t xml:space="preserve">g) The IMSI assigned to a subscription under this identification plan should not be directly related to numbers assigned to that same subscription under "The international public telecommunications numbering plan" [ITU-T E.164]. </w:t>
      </w:r>
    </w:p>
    <w:p w14:paraId="669C6A35" w14:textId="77777777" w:rsidR="006D7E5B" w:rsidRDefault="008F1E11">
      <w:r>
        <w:t xml:space="preserve">h) The IMSI should, if necessary, enable: 1) determination of the home network; 2) identification of subscriptions, when information about a specific subscription is exchanged between networks; 3) identification of subscriptions for charging and billing purposes; 4) identification and management of subscription, e.g., for registering, authenticating, signalling, retrieving, providing, changing and updating of subscription data. </w:t>
      </w:r>
    </w:p>
    <w:p w14:paraId="669C6A36" w14:textId="77777777" w:rsidR="006D7E5B" w:rsidRDefault="008F1E11">
      <w:r>
        <w:t>i) The IMSI is not intended to be used for dialling purposes. This list is not exhaustive.</w:t>
      </w:r>
    </w:p>
    <w:p w14:paraId="669C6A37" w14:textId="77777777" w:rsidR="006D7E5B" w:rsidRDefault="008F1E11">
      <w:r>
        <w:t>…</w:t>
      </w:r>
    </w:p>
    <w:p w14:paraId="669C6A38" w14:textId="77777777" w:rsidR="006D7E5B" w:rsidRDefault="008F1E11">
      <w:r>
        <w:t xml:space="preserve">6 IMSI structure, format and assignment procedures </w:t>
      </w:r>
    </w:p>
    <w:p w14:paraId="669C6A39" w14:textId="77777777" w:rsidR="006D7E5B" w:rsidRDefault="008F1E11">
      <w:r>
        <w:t>6.1 Structure and format of the IMSI The IMSI structure and format are as shown in Figure 1. Figure 1 – Structure and format of the IMSI 6.2 IMSI assignment procedures 6.2.1 The Director of TSB assigns MCCs in accordance with Annexes A and C. 6.2.2 MNCs associated with geographic MCCs are administered by the national numbering plan administrator within each country in accordance with the principle in Annex B. 6.2.3 MSINs are administered by the relevant MNC assignee in accordance with relevant national or ITU-T Recommendations. 6.2.4 In principle, only one IMSI should be assigned to each subscription, although multiple subscriptions may be associated with a SIM/USIM/UICC/embedded SIM card.</w:t>
      </w:r>
    </w:p>
    <w:p w14:paraId="669C6A3A" w14:textId="77777777" w:rsidR="006D7E5B" w:rsidRDefault="006D7E5B">
      <w:pPr>
        <w:rPr>
          <w:rFonts w:cstheme="minorHAnsi"/>
        </w:rPr>
      </w:pPr>
    </w:p>
    <w:p w14:paraId="669C6A3B" w14:textId="77777777" w:rsidR="006D7E5B" w:rsidRDefault="006D7E5B">
      <w:pPr>
        <w:pStyle w:val="ZT"/>
        <w:framePr w:wrap="auto" w:hAnchor="text" w:yAlign="inline"/>
        <w:jc w:val="left"/>
        <w:rPr>
          <w:rFonts w:asciiTheme="minorHAnsi" w:hAnsiTheme="minorHAnsi" w:cstheme="minorHAnsi"/>
          <w:b w:val="0"/>
          <w:bCs/>
          <w:sz w:val="18"/>
          <w:szCs w:val="18"/>
        </w:rPr>
      </w:pPr>
    </w:p>
    <w:p w14:paraId="669C6A3C" w14:textId="77777777" w:rsidR="006D7E5B" w:rsidRDefault="006D7E5B">
      <w:pPr>
        <w:spacing w:after="0" w:line="240" w:lineRule="auto"/>
        <w:rPr>
          <w:rFonts w:eastAsia="Times New Roman" w:cstheme="minorHAnsi"/>
          <w:color w:val="000000"/>
          <w:sz w:val="20"/>
          <w:szCs w:val="20"/>
        </w:rPr>
      </w:pPr>
    </w:p>
    <w:p w14:paraId="669C6A3D" w14:textId="77777777" w:rsidR="006D7E5B" w:rsidRDefault="006D7E5B">
      <w:pPr>
        <w:rPr>
          <w:rFonts w:cstheme="minorHAnsi"/>
        </w:rPr>
      </w:pPr>
    </w:p>
    <w:sectPr w:rsidR="006D7E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DB5"/>
    <w:multiLevelType w:val="hybridMultilevel"/>
    <w:tmpl w:val="C96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DB3965"/>
    <w:multiLevelType w:val="hybridMultilevel"/>
    <w:tmpl w:val="EE4A3326"/>
    <w:lvl w:ilvl="0" w:tplc="A6A8ED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301337">
    <w:abstractNumId w:val="1"/>
  </w:num>
  <w:num w:numId="2" w16cid:durableId="679308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K2MDA3NjWzMABSxko6SsGpxcWZ+XkgBYbGtQDLo96CLQAAAA=="/>
  </w:docVars>
  <w:rsids>
    <w:rsidRoot w:val="006D7E5B"/>
    <w:rsid w:val="00080C32"/>
    <w:rsid w:val="000E1582"/>
    <w:rsid w:val="001539AA"/>
    <w:rsid w:val="0027229D"/>
    <w:rsid w:val="00486CD7"/>
    <w:rsid w:val="00510339"/>
    <w:rsid w:val="006D7E5B"/>
    <w:rsid w:val="00717D05"/>
    <w:rsid w:val="00720602"/>
    <w:rsid w:val="008F1E11"/>
    <w:rsid w:val="0091444E"/>
    <w:rsid w:val="00A1449F"/>
    <w:rsid w:val="00AA69CF"/>
    <w:rsid w:val="00B236CE"/>
    <w:rsid w:val="00C21E4E"/>
    <w:rsid w:val="00CC0D4A"/>
    <w:rsid w:val="00D60E75"/>
    <w:rsid w:val="00D875C8"/>
    <w:rsid w:val="00DA722E"/>
    <w:rsid w:val="00E62C6C"/>
    <w:rsid w:val="0C2F2807"/>
    <w:rsid w:val="36E4D9FD"/>
    <w:rsid w:val="592035D2"/>
    <w:rsid w:val="63365C54"/>
    <w:rsid w:val="63C54165"/>
    <w:rsid w:val="71B94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C69E2"/>
  <w15:chartTrackingRefBased/>
  <w15:docId w15:val="{6AA9D52F-2AF9-4F27-B64F-EE51BE1E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ZGSM">
    <w:name w:val="ZGSM"/>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customStyle="1" w:styleId="CRCoverPage">
    <w:name w:val="CR Cover Page"/>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7429">
      <w:bodyDiv w:val="1"/>
      <w:marLeft w:val="0"/>
      <w:marRight w:val="0"/>
      <w:marTop w:val="0"/>
      <w:marBottom w:val="0"/>
      <w:divBdr>
        <w:top w:val="none" w:sz="0" w:space="0" w:color="auto"/>
        <w:left w:val="none" w:sz="0" w:space="0" w:color="auto"/>
        <w:bottom w:val="none" w:sz="0" w:space="0" w:color="auto"/>
        <w:right w:val="none" w:sz="0" w:space="0" w:color="auto"/>
      </w:divBdr>
    </w:div>
    <w:div w:id="21706876">
      <w:bodyDiv w:val="1"/>
      <w:marLeft w:val="0"/>
      <w:marRight w:val="0"/>
      <w:marTop w:val="0"/>
      <w:marBottom w:val="0"/>
      <w:divBdr>
        <w:top w:val="none" w:sz="0" w:space="0" w:color="auto"/>
        <w:left w:val="none" w:sz="0" w:space="0" w:color="auto"/>
        <w:bottom w:val="none" w:sz="0" w:space="0" w:color="auto"/>
        <w:right w:val="none" w:sz="0" w:space="0" w:color="auto"/>
      </w:divBdr>
    </w:div>
    <w:div w:id="721828403">
      <w:bodyDiv w:val="1"/>
      <w:marLeft w:val="0"/>
      <w:marRight w:val="0"/>
      <w:marTop w:val="0"/>
      <w:marBottom w:val="0"/>
      <w:divBdr>
        <w:top w:val="none" w:sz="0" w:space="0" w:color="auto"/>
        <w:left w:val="none" w:sz="0" w:space="0" w:color="auto"/>
        <w:bottom w:val="none" w:sz="0" w:space="0" w:color="auto"/>
        <w:right w:val="none" w:sz="0" w:space="0" w:color="auto"/>
      </w:divBdr>
    </w:div>
    <w:div w:id="1043167477">
      <w:bodyDiv w:val="1"/>
      <w:marLeft w:val="0"/>
      <w:marRight w:val="0"/>
      <w:marTop w:val="0"/>
      <w:marBottom w:val="0"/>
      <w:divBdr>
        <w:top w:val="none" w:sz="0" w:space="0" w:color="auto"/>
        <w:left w:val="none" w:sz="0" w:space="0" w:color="auto"/>
        <w:bottom w:val="none" w:sz="0" w:space="0" w:color="auto"/>
        <w:right w:val="none" w:sz="0" w:space="0" w:color="auto"/>
      </w:divBdr>
    </w:div>
    <w:div w:id="1179586162">
      <w:bodyDiv w:val="1"/>
      <w:marLeft w:val="0"/>
      <w:marRight w:val="0"/>
      <w:marTop w:val="0"/>
      <w:marBottom w:val="0"/>
      <w:divBdr>
        <w:top w:val="none" w:sz="0" w:space="0" w:color="auto"/>
        <w:left w:val="none" w:sz="0" w:space="0" w:color="auto"/>
        <w:bottom w:val="none" w:sz="0" w:space="0" w:color="auto"/>
        <w:right w:val="none" w:sz="0" w:space="0" w:color="auto"/>
      </w:divBdr>
    </w:div>
    <w:div w:id="1777552612">
      <w:bodyDiv w:val="1"/>
      <w:marLeft w:val="0"/>
      <w:marRight w:val="0"/>
      <w:marTop w:val="0"/>
      <w:marBottom w:val="0"/>
      <w:divBdr>
        <w:top w:val="none" w:sz="0" w:space="0" w:color="auto"/>
        <w:left w:val="none" w:sz="0" w:space="0" w:color="auto"/>
        <w:bottom w:val="none" w:sz="0" w:space="0" w:color="auto"/>
        <w:right w:val="none" w:sz="0" w:space="0" w:color="auto"/>
      </w:divBdr>
    </w:div>
    <w:div w:id="193809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2441C7-640A-4B87-892E-FD900A3EC177}">
  <ds:schemaRefs>
    <ds:schemaRef ds:uri="http://schemas.microsoft.com/sharepoint/v3/contenttype/forms"/>
  </ds:schemaRefs>
</ds:datastoreItem>
</file>

<file path=customXml/itemProps2.xml><?xml version="1.0" encoding="utf-8"?>
<ds:datastoreItem xmlns:ds="http://schemas.openxmlformats.org/officeDocument/2006/customXml" ds:itemID="{9AAA8E6B-9F37-49E0-936E-8A5997A9C95C}">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7DD39D-C7A8-40E1-B6C2-4C3072CB9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1192</Words>
  <Characters>6796</Characters>
  <Application>Microsoft Office Word</Application>
  <DocSecurity>0</DocSecurity>
  <Lines>56</Lines>
  <Paragraphs>15</Paragraphs>
  <ScaleCrop>false</ScaleCrop>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Aneeqa Ijaz</dc:creator>
  <cp:keywords/>
  <dc:description/>
  <cp:lastModifiedBy>Alec Brusilovsky</cp:lastModifiedBy>
  <cp:revision>31</cp:revision>
  <dcterms:created xsi:type="dcterms:W3CDTF">2022-07-15T17:46:00Z</dcterms:created>
  <dcterms:modified xsi:type="dcterms:W3CDTF">2022-10-03T13:31:00Z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